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27 (Key Subcontractors)</w:t>
      </w:r>
      <w:r w:rsidDel="00000000" w:rsidR="00000000" w:rsidRPr="00000000">
        <w:rPr>
          <w:rtl w:val="0"/>
        </w:rPr>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91"/>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Restrictions on certain subcontractors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33"/>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Contract to the Key Subcontractors set out in the Award Form. </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33"/>
        </w:tabs>
        <w:spacing w:after="120" w:before="120" w:line="240" w:lineRule="auto"/>
        <w:ind w:left="907" w:right="0" w:hanging="547"/>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If requested by the Buyer, within ten (10) Working Days of receipt of the information provided by the Supplier pursuant to Paragraph 1.3, the Supplier shall also provide:.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r w:rsidDel="00000000" w:rsidR="00000000" w:rsidRPr="00000000">
        <w:rPr>
          <w:rtl w:val="0"/>
        </w:rPr>
      </w:r>
    </w:p>
    <w:p w:rsidR="00000000" w:rsidDel="00000000" w:rsidP="00000000" w:rsidRDefault="00000000" w:rsidRPr="00000000" w14:paraId="0000000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33"/>
        </w:tabs>
        <w:spacing w:after="120" w:before="120" w:line="240" w:lineRule="auto"/>
        <w:ind w:left="907" w:right="0" w:hanging="547"/>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following information in respect of the proposed Key Subcontractor:</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Buyer that the proposed Key Sub-Contract has been agreed on "arm’s-length" terms;</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Key Sub-Contract price expressed as a percentage of the total projected Charges over the Contract Period; and</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Schedule 24 (Financial Difficulties)) of the Key Subcontractor.</w:t>
      </w:r>
      <w:r w:rsidDel="00000000" w:rsidR="00000000" w:rsidRPr="00000000">
        <w:rPr>
          <w:rtl w:val="0"/>
        </w:rPr>
      </w:r>
    </w:p>
    <w:p w:rsidR="00000000" w:rsidDel="00000000" w:rsidP="00000000" w:rsidRDefault="00000000" w:rsidRPr="00000000" w14:paraId="0000000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33"/>
        </w:tabs>
        <w:spacing w:after="120" w:before="120" w:line="240" w:lineRule="auto"/>
        <w:ind w:left="907" w:right="0" w:hanging="547"/>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the Buyer, within ten (10) Working Days of receipt of the information provided by the Supplier pursuant to Paragraph The Supplier shall provide the Buyer with the following information in respect of the proposed Key Subcontractor:, the Supplier shall also provide:</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the Buyer.</w:t>
      </w:r>
      <w:r w:rsidDel="00000000" w:rsidR="00000000" w:rsidRPr="00000000">
        <w:rPr>
          <w:rtl w:val="0"/>
        </w:rPr>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33"/>
        </w:tabs>
        <w:spacing w:after="120" w:before="120" w:line="240" w:lineRule="auto"/>
        <w:ind w:left="907" w:right="0" w:hanging="547"/>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the Buyer to enforce any provisions under the Key Sub-Contract which confer a benefit upon the Buyer;</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Buyer to enforce the Key Sub-Contract as if it were the Supplier; </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the Buyer; </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Contract in respect of:</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18 (Data protection);</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20 (When you can share information);</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the Buyer or otherwise bring the Buyer into disrepute; </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the Buyer under Clauses 14.4 (When the Buyer can end this contract) and 14.5 (What happens if the contract ends) of this Contract; </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the Buyer; and</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the Buyer or any other person on behalf of the Buyer to step-in on substantially the same terms as are set out in Clause 13 (Step-in rights).</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33"/>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terminate or materially amend the terms of any Key Sub-Contract without the Buyer's prior written consent, which shall not be unreasonably withheld or delayed.</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847"/>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847"/>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r>
  </w:p>
  <w:p w:rsidR="00000000" w:rsidDel="00000000" w:rsidP="00000000" w:rsidRDefault="00000000" w:rsidRPr="00000000" w14:paraId="00000026">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bookmarkStart w:colFirst="0" w:colLast="0" w:name="3dy6vkm" w:id="6"/>
  <w:bookmarkEnd w:id="6"/>
  <w:p w:rsidR="00000000" w:rsidDel="00000000" w:rsidP="00000000" w:rsidRDefault="00000000" w:rsidRPr="00000000" w14:paraId="00000027">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23">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27 (Key Subcontractors)</w:t>
    </w:r>
  </w:p>
  <w:p w:rsidR="00000000" w:rsidDel="00000000" w:rsidP="00000000" w:rsidRDefault="00000000" w:rsidRPr="00000000" w14:paraId="00000024">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